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636F5A3D"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Inorganic Chemistry I</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42536E7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27B7" w:rsidRPr="00BA27B7">
              <w:rPr>
                <w:rFonts w:asciiTheme="majorHAnsi" w:hAnsiTheme="majorHAnsi" w:cs="Arial"/>
                <w:b/>
                <w:sz w:val="18"/>
                <w:szCs w:val="18"/>
              </w:rPr>
              <w:t>Inorg. Chem. 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3029248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27B7">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356BB0A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27B7">
              <w:rPr>
                <w:rFonts w:asciiTheme="majorHAnsi" w:hAnsiTheme="majorHAnsi" w:cs="Arial"/>
                <w:b/>
                <w:sz w:val="18"/>
                <w:szCs w:val="18"/>
              </w:rPr>
              <w:t>9</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111AE9">
                    <w:rPr>
                      <w:rFonts w:asciiTheme="majorHAnsi" w:hAnsiTheme="majorHAnsi" w:cs="Arial"/>
                      <w:b/>
                      <w:sz w:val="18"/>
                      <w:szCs w:val="18"/>
                    </w:rPr>
                  </w:r>
                  <w:r w:rsidR="00111AE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74E43EE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098AC68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2BEE23A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1CDA720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Pr>
                <w:rFonts w:asciiTheme="majorHAnsi" w:hAnsiTheme="majorHAnsi" w:cs="Arial"/>
                <w:b/>
                <w:sz w:val="18"/>
                <w:szCs w:val="18"/>
              </w:rPr>
              <w:t>2</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03558DF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600560A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67,5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043466F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630D5AF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Pr>
                <w:rFonts w:asciiTheme="majorHAnsi" w:hAnsiTheme="majorHAnsi" w:cs="Arial"/>
                <w:b/>
                <w:sz w:val="18"/>
                <w:szCs w:val="18"/>
              </w:rPr>
              <w:t>73,57</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695F05F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27B7">
              <w:rPr>
                <w:rFonts w:asciiTheme="majorHAnsi" w:hAnsiTheme="majorHAnsi"/>
                <w:b/>
                <w:sz w:val="18"/>
                <w:szCs w:val="18"/>
              </w:rPr>
              <w:t>3</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51DC555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Pr>
                <w:rFonts w:asciiTheme="majorHAnsi" w:hAnsiTheme="majorHAnsi" w:cs="Arial"/>
                <w:b/>
                <w:sz w:val="18"/>
                <w:szCs w:val="18"/>
              </w:rPr>
              <w:t>141,07</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64FA780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Chemistry </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553AB743"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27B7">
              <w:rPr>
                <w:rFonts w:asciiTheme="majorHAnsi" w:hAnsiTheme="majorHAnsi" w:cs="Arial"/>
                <w:b/>
                <w:sz w:val="18"/>
                <w:szCs w:val="18"/>
              </w:rPr>
              <w:t>Amira Cipurković</w:t>
            </w:r>
            <w:r w:rsidR="00FB48B6" w:rsidRPr="00B96B4F">
              <w:rPr>
                <w:rFonts w:asciiTheme="majorHAnsi" w:hAnsiTheme="majorHAnsi" w:cs="Arial"/>
                <w:b/>
                <w:sz w:val="18"/>
                <w:szCs w:val="18"/>
              </w:rPr>
              <w:t> </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9F8F881" w14:textId="77777777" w:rsidR="00BA27B7" w:rsidRPr="00BA27B7"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Provide students with basic knowledge and acquired experience in order to improve their understanding of specific areas of inorganic chemistry.</w:t>
            </w:r>
          </w:p>
          <w:p w14:paraId="5F626A5E" w14:textId="77777777" w:rsidR="00BA27B7" w:rsidRPr="00BA27B7" w:rsidRDefault="00BA27B7" w:rsidP="00BA27B7">
            <w:pPr>
              <w:pStyle w:val="NoSpacing"/>
              <w:rPr>
                <w:rFonts w:asciiTheme="majorHAnsi" w:hAnsiTheme="majorHAnsi" w:cs="Arial"/>
                <w:b/>
                <w:sz w:val="18"/>
                <w:szCs w:val="18"/>
              </w:rPr>
            </w:pPr>
          </w:p>
          <w:p w14:paraId="3BC44FA6" w14:textId="5D977B94" w:rsidR="00CB72ED" w:rsidRPr="00B96B4F"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lastRenderedPageBreak/>
              <w:t>Enhance their communication skills in both written and verbal forms, as well as skills related to individual and team/group experimental work, and encourage continuous work throughout the semester.</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A4E54EC" w14:textId="77777777" w:rsidR="00BA27B7" w:rsidRPr="00BA27B7"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Successful students will be able to:</w:t>
            </w:r>
          </w:p>
          <w:p w14:paraId="75EAA0F4" w14:textId="75CC39FB" w:rsidR="00CB72ED" w:rsidRPr="00B96B4F"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Use available literature; synthesize specific chemical compounds; isolate, examine, and analyze them; calculate the quantities of reactants and the product yield; assemble the apparatus required for experimental work; draw diagrams; verify the accuracy of the results and explain the obtained outcomes; and independently or in teams evaluate and verify methods for solving tasks of varying complexity, presenting the results in written or verbal form</w:t>
            </w:r>
            <w:r w:rsidR="00E11D98" w:rsidRPr="00E11D98">
              <w:rPr>
                <w:rFonts w:asciiTheme="majorHAnsi" w:hAnsiTheme="majorHAnsi" w:cs="Arial"/>
                <w:b/>
                <w:sz w:val="18"/>
                <w:szCs w:val="18"/>
              </w:rPr>
              <w:t>.</w:t>
            </w:r>
            <w:r w:rsidR="006D5B9B"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D0E643F" w14:textId="48374CEC" w:rsidR="00BA27B7" w:rsidRPr="00BA27B7"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Natural sciences and chemistry.Nomenclature of inorganic compounds.General properties of s- and p-block elements (atomic and ionic radii, ionization energies, standard redox potentials, stability of oxidation states, etc.).Noble gases.</w:t>
            </w:r>
          </w:p>
          <w:p w14:paraId="615544E2" w14:textId="5CA5739A" w:rsidR="00BA27B7" w:rsidRPr="00BA27B7"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Hydrogen.Elements of groups 17–13 of the Periodic Table.Elements of groups 1 and 2 of the Periodic Table.</w:t>
            </w:r>
          </w:p>
          <w:p w14:paraId="3BB9811F" w14:textId="05D2EA38" w:rsidR="00CB72ED" w:rsidRPr="00B96B4F"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Methods of obtaining elements and their compounds, their properties, and applications.</w:t>
            </w:r>
            <w:r w:rsidR="006D5B9B"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7D36B24" w14:textId="750D7FDD" w:rsidR="00CB72ED" w:rsidRPr="00B96B4F"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Lectures using multimedia tools, active learning techniques, and with active student participation and discussions;</w:t>
            </w:r>
            <w:r w:rsidR="00BA27B7">
              <w:rPr>
                <w:rFonts w:asciiTheme="majorHAnsi" w:hAnsiTheme="majorHAnsi" w:cs="Arial"/>
                <w:b/>
                <w:sz w:val="18"/>
                <w:szCs w:val="18"/>
              </w:rPr>
              <w:t xml:space="preserve"> </w:t>
            </w:r>
            <w:r w:rsidR="00BA27B7" w:rsidRPr="00BA27B7">
              <w:rPr>
                <w:rFonts w:asciiTheme="majorHAnsi" w:hAnsiTheme="majorHAnsi" w:cs="Arial"/>
                <w:b/>
                <w:sz w:val="18"/>
                <w:szCs w:val="18"/>
              </w:rPr>
              <w:t>Laboratory exercises and quizzes.Attendance at lectures (L) and laboratory exercises is mandatory.During the semester, the instructor/teaching assistant will assign specific tasks and responsibilities to students, which they are expected to complete, be prepared for the next class, and submit a report on the completed exercises.</w:t>
            </w:r>
            <w:r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E50C470" w14:textId="108FA9A1" w:rsidR="00BA27B7" w:rsidRPr="00BA27B7"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Assessment of Acquired Knowledge</w:t>
            </w:r>
            <w:r w:rsidR="00BA27B7">
              <w:rPr>
                <w:rFonts w:asciiTheme="majorHAnsi" w:hAnsiTheme="majorHAnsi" w:cs="Arial"/>
                <w:b/>
                <w:sz w:val="18"/>
                <w:szCs w:val="18"/>
              </w:rPr>
              <w:t xml:space="preserve"> </w:t>
            </w:r>
            <w:r w:rsidR="00BA27B7" w:rsidRPr="00BA27B7">
              <w:rPr>
                <w:rFonts w:asciiTheme="majorHAnsi" w:hAnsiTheme="majorHAnsi" w:cs="Arial"/>
                <w:b/>
                <w:sz w:val="18"/>
                <w:szCs w:val="18"/>
              </w:rPr>
              <w:t>Student knowledge in this course is evaluated using written and/or oral methods.</w:t>
            </w:r>
          </w:p>
          <w:p w14:paraId="6F494D30" w14:textId="77777777" w:rsidR="00BA27B7" w:rsidRPr="00BA27B7"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Pre-exam obligations: Students are required to complete the scheduled experimental exercises and pass two quizzes. For continuous activity during exercises throughout the semester, a student can earn 0 to 10 points.</w:t>
            </w:r>
          </w:p>
          <w:p w14:paraId="36591460" w14:textId="1694CBFC" w:rsidR="00BA27B7" w:rsidRPr="00BA27B7"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Written methods:Midterm Test 1: After the first half of the semester, students take a written test covering the material taught in lectures and exercises up to that point. The test consists of multiple-choice questions, short-recall tasks, or essay-type questions. Each correct answer is awarded the corresponding number of points. The maximum score for the first midterm is 20 points.Midterm Test 2: At the end of the semester, students take a second written test covering lectures and exercises from the second half of the semester. This test also consists of multiple-choice questions, short-recall tasks, or essay-type questions. Each correct answer is awarded points, with a maximum of 20 points for the second midterm.</w:t>
            </w:r>
          </w:p>
          <w:p w14:paraId="064EA524" w14:textId="17A93836" w:rsidR="00E11D98"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Both tests are taken by all students simultaneously to ensure uniformity in knowledge assessment and exam conditions. Test dates will be announced to students at least 15 days in advance.Final Exam: The final exam can be written and/or oral.Students are eligible to take the final exam if they achieve at least 50% of the maximum points on each midterm (i.e., 10 points on each test).On the oral exam, students answer questions from the course syllabus as covered in lectures and exercises. The oral exam can only be passed if the student answers all questions. The maximum score on the oral exam is 50 points.</w:t>
            </w:r>
            <w:r>
              <w:rPr>
                <w:rFonts w:asciiTheme="majorHAnsi" w:hAnsiTheme="majorHAnsi" w:cs="Arial"/>
                <w:b/>
                <w:sz w:val="18"/>
                <w:szCs w:val="18"/>
              </w:rPr>
              <w:t xml:space="preserve"> </w:t>
            </w:r>
            <w:r w:rsidRPr="00BA27B7">
              <w:rPr>
                <w:rFonts w:asciiTheme="majorHAnsi" w:hAnsiTheme="majorHAnsi" w:cs="Arial"/>
                <w:b/>
                <w:sz w:val="18"/>
                <w:szCs w:val="18"/>
              </w:rPr>
              <w:t>Cumulative Assessment: Performance on all forms of assessment is considered cumulative if the student achieves at least 50% of the total required knowledge and skills in each individual assessment.</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C9C00B6" w14:textId="6D351EF3" w:rsidR="00BA27B7" w:rsidRPr="00BA27B7"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Pre-exam obligations:</w:t>
            </w:r>
          </w:p>
          <w:p w14:paraId="75EDE5B5" w14:textId="77777777" w:rsidR="00BA27B7" w:rsidRPr="00BA27B7"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Tests: 40%</w:t>
            </w:r>
          </w:p>
          <w:p w14:paraId="017DC13C" w14:textId="77777777" w:rsidR="00BA27B7" w:rsidRPr="00BA27B7"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Student activities and quizzes: 10%</w:t>
            </w:r>
          </w:p>
          <w:p w14:paraId="603783D8" w14:textId="2E63AEFD" w:rsidR="00CB72ED" w:rsidRPr="00B96B4F"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Final exam: 50%</w:t>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DB49D61" w14:textId="77777777" w:rsidR="00BA27B7" w:rsidRPr="00BA27B7" w:rsidRDefault="006D5B9B" w:rsidP="00BA27B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A27B7" w:rsidRPr="00BA27B7">
              <w:rPr>
                <w:rFonts w:asciiTheme="majorHAnsi" w:hAnsiTheme="majorHAnsi" w:cs="Arial"/>
                <w:b/>
                <w:sz w:val="18"/>
                <w:szCs w:val="18"/>
              </w:rPr>
              <w:t>Filipović, I., Lipanović, S. (1995). General and Inorganic Chemistry, Parts I &amp; II. Zagreb: Školska knjiga.</w:t>
            </w:r>
          </w:p>
          <w:p w14:paraId="28F7BF18" w14:textId="4C76BD1C" w:rsidR="00CB72ED" w:rsidRPr="00B96B4F" w:rsidRDefault="00BA27B7" w:rsidP="00BA27B7">
            <w:pPr>
              <w:pStyle w:val="NoSpacing"/>
              <w:rPr>
                <w:rFonts w:asciiTheme="majorHAnsi" w:hAnsiTheme="majorHAnsi" w:cs="Arial"/>
                <w:b/>
                <w:sz w:val="18"/>
                <w:szCs w:val="18"/>
              </w:rPr>
            </w:pPr>
            <w:r w:rsidRPr="00BA27B7">
              <w:rPr>
                <w:rFonts w:asciiTheme="majorHAnsi" w:hAnsiTheme="majorHAnsi" w:cs="Arial"/>
                <w:b/>
                <w:sz w:val="18"/>
                <w:szCs w:val="18"/>
              </w:rPr>
              <w:t>Cipurković, A., Hodžić, Z., Tanjić, I. (2010). Preparative Inorganic Chemistry. Tuzla: Bosanska riječ.</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D7D34" w14:textId="77777777" w:rsidR="00111AE9" w:rsidRDefault="00111AE9">
      <w:pPr>
        <w:spacing w:line="240" w:lineRule="auto"/>
      </w:pPr>
      <w:r>
        <w:separator/>
      </w:r>
    </w:p>
  </w:endnote>
  <w:endnote w:type="continuationSeparator" w:id="0">
    <w:p w14:paraId="3FFDC08C" w14:textId="77777777" w:rsidR="00111AE9" w:rsidRDefault="00111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6B436421"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5F4821">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5F4821">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5F4821">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6AD2A" w14:textId="77777777" w:rsidR="00111AE9" w:rsidRDefault="00111AE9">
      <w:pPr>
        <w:spacing w:after="0"/>
      </w:pPr>
      <w:r>
        <w:separator/>
      </w:r>
    </w:p>
  </w:footnote>
  <w:footnote w:type="continuationSeparator" w:id="0">
    <w:p w14:paraId="00423C35" w14:textId="77777777" w:rsidR="00111AE9" w:rsidRDefault="00111A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1AE9"/>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2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27B7"/>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34C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84BFE-DB63-412A-ABC7-F0DE347E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2026-03-13T08:22:00Z</dcterms:created>
  <dcterms:modified xsi:type="dcterms:W3CDTF">2026-03-13T08:22:00Z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